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Default="0027168A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</w:t>
      </w:r>
      <w:r w:rsidR="00ED5E9F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="00ED5E9F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(</w:t>
      </w:r>
      <w:r w:rsidR="005F70B0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  <w:r w:rsidR="002929F6"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6 ДНЕЙ</w:t>
      </w:r>
      <w:r w:rsid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929F6"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r w:rsid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929F6"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5 НОЧЕЙ</w:t>
      </w:r>
      <w:r w:rsidR="005F70B0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)</w:t>
      </w:r>
    </w:p>
    <w:p w:rsidR="0027168A" w:rsidRPr="0027168A" w:rsidRDefault="006560F6" w:rsidP="0027168A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="0027168A"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27168A" w:rsidRPr="0027168A" w:rsidRDefault="0027168A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F01052" w:rsidRP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t>Мечеть Сулеймание, Гробницы Сулеймана Великолепного и Роксоланы, Египетский рынок</w:t>
      </w:r>
      <w:r w:rsidR="00ED5E9F">
        <w:rPr>
          <w:rFonts w:ascii="Calibri" w:hAnsi="Calibri" w:cs="Calibri"/>
          <w:sz w:val="23"/>
          <w:szCs w:val="23"/>
        </w:rPr>
        <w:t xml:space="preserve"> – 25</w:t>
      </w:r>
      <w:r>
        <w:rPr>
          <w:rFonts w:ascii="Calibri" w:hAnsi="Calibri" w:cs="Calibri"/>
          <w:sz w:val="23"/>
          <w:szCs w:val="23"/>
        </w:rPr>
        <w:t xml:space="preserve">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 w:rsidR="00ED5E9F">
        <w:rPr>
          <w:rFonts w:ascii="Calibri" w:hAnsi="Calibri" w:cs="Calibri"/>
          <w:sz w:val="23"/>
          <w:szCs w:val="23"/>
        </w:rPr>
        <w:t>чай, 1 алкогольный напиток) – 35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F01052" w:rsidRPr="00940E1A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  <w:r w:rsidR="00542400">
        <w:rPr>
          <w:rFonts w:ascii="Calibri" w:hAnsi="Calibri" w:cs="Calibri"/>
          <w:sz w:val="23"/>
          <w:szCs w:val="23"/>
        </w:rPr>
        <w:t xml:space="preserve"> </w:t>
      </w:r>
    </w:p>
    <w:p w:rsidR="00202396" w:rsidRDefault="00202396" w:rsidP="00F01052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, </w:t>
      </w:r>
    </w:p>
    <w:p w:rsidR="00202396" w:rsidRPr="00940E1A" w:rsidRDefault="00202396" w:rsidP="0020239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202396" w:rsidRPr="00202396" w:rsidRDefault="009777D4" w:rsidP="0020239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50A75" w:rsidRDefault="00850A75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4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850A75" w:rsidRDefault="00850A75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50A75">
        <w:rPr>
          <w:rFonts w:ascii="Calibri" w:hAnsi="Calibri" w:cs="Calibri"/>
          <w:sz w:val="23"/>
          <w:szCs w:val="23"/>
        </w:rPr>
        <w:t>Монастырь Хора (Музей Карие), Кафе Пьера Лотти, Канатная дорога Эюп — Пьер Лоти (Teleferik TF2)</w:t>
      </w:r>
      <w:r w:rsidR="009F6CF7">
        <w:rPr>
          <w:rFonts w:ascii="Calibri" w:hAnsi="Calibri" w:cs="Calibri"/>
          <w:sz w:val="23"/>
          <w:szCs w:val="23"/>
        </w:rPr>
        <w:t xml:space="preserve"> </w:t>
      </w:r>
      <w:r w:rsidR="009F6CF7" w:rsidRPr="009F6CF7">
        <w:rPr>
          <w:rFonts w:ascii="Calibri" w:hAnsi="Calibri" w:cs="Calibri"/>
          <w:sz w:val="23"/>
          <w:szCs w:val="23"/>
        </w:rPr>
        <w:t>Птичий взгляд на Стамбул - небоскреб Sapphıre высота 280 метров и 3D фильм</w:t>
      </w:r>
      <w:r w:rsidR="009F6CF7">
        <w:rPr>
          <w:rFonts w:ascii="Calibri" w:hAnsi="Calibri" w:cs="Calibri"/>
          <w:sz w:val="23"/>
          <w:szCs w:val="23"/>
        </w:rPr>
        <w:t>.</w:t>
      </w:r>
    </w:p>
    <w:p w:rsidR="009F6CF7" w:rsidRDefault="009F6CF7" w:rsidP="00850A75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AE6377" w:rsidRDefault="00AE637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Парк миниатюр Миниатюрк — самый крупный мини-город во всем мире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AE6377" w:rsidRDefault="00AE637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Дельфинарий в Стамбуле — развлечение для всех</w:t>
      </w:r>
      <w:r>
        <w:rPr>
          <w:rFonts w:ascii="Calibri" w:hAnsi="Calibri" w:cs="Calibri"/>
          <w:sz w:val="23"/>
          <w:szCs w:val="23"/>
        </w:rPr>
        <w:t xml:space="preserve"> – 40 $</w:t>
      </w:r>
    </w:p>
    <w:p w:rsidR="00430317" w:rsidRDefault="0043031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430317" w:rsidRDefault="00430317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5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DE4DA6" w:rsidRDefault="00DE4DA6" w:rsidP="00850A75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Принцевы острова (Адалары)</w:t>
      </w:r>
      <w:r w:rsidRPr="00DE4DA6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– это группа из 9 островов, которые находятся в Мраморном море на расстоянии 18-35 км от Стамбула. </w:t>
      </w:r>
      <w:r w:rsidR="003E4E95" w:rsidRPr="003E4E95">
        <w:rPr>
          <w:rFonts w:ascii="Georgia" w:hAnsi="Georgia"/>
          <w:color w:val="333333"/>
          <w:shd w:val="clear" w:color="auto" w:fill="FFFFFF"/>
        </w:rPr>
        <w:t xml:space="preserve">Отправление на Большой остров </w:t>
      </w:r>
      <w:r w:rsidR="003E4E95">
        <w:rPr>
          <w:rFonts w:ascii="Georgia" w:hAnsi="Georgia"/>
          <w:color w:val="333333"/>
          <w:shd w:val="clear" w:color="auto" w:fill="FFFFFF"/>
        </w:rPr>
        <w:t>(</w:t>
      </w:r>
      <w:r w:rsidR="003E4E95" w:rsidRPr="003E4E95">
        <w:rPr>
          <w:rFonts w:ascii="Georgia" w:hAnsi="Georgia"/>
          <w:color w:val="333333"/>
          <w:shd w:val="clear" w:color="auto" w:fill="FFFFFF"/>
        </w:rPr>
        <w:t>Buyuk Oda</w:t>
      </w:r>
      <w:r w:rsidR="003E4E95">
        <w:rPr>
          <w:rFonts w:ascii="Georgia" w:hAnsi="Georgia"/>
          <w:color w:val="333333"/>
          <w:shd w:val="clear" w:color="auto" w:fill="FFFFFF"/>
        </w:rPr>
        <w:t>)</w:t>
      </w:r>
      <w:r w:rsidR="003E4E95" w:rsidRPr="003E4E95">
        <w:rPr>
          <w:rFonts w:ascii="Georgia" w:hAnsi="Georgia"/>
          <w:color w:val="333333"/>
          <w:shd w:val="clear" w:color="auto" w:fill="FFFFFF"/>
        </w:rPr>
        <w:t>, услуги гида, файтон, обед в рычном ресторане</w:t>
      </w:r>
    </w:p>
    <w:p w:rsidR="00850A75" w:rsidRDefault="00850A75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430317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6</w:t>
      </w:r>
      <w:r w:rsidR="009777D4"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 w:rsidR="009777D4">
        <w:rPr>
          <w:rFonts w:ascii="Calibri" w:hAnsi="Calibri" w:cs="Calibri"/>
          <w:sz w:val="23"/>
          <w:szCs w:val="23"/>
        </w:rPr>
        <w:t xml:space="preserve"> </w:t>
      </w:r>
      <w:r w:rsidR="009777D4"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ED5E9F" w:rsidTr="00ED5E9F">
        <w:tc>
          <w:tcPr>
            <w:tcW w:w="4531" w:type="dxa"/>
          </w:tcPr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ED5E9F" w:rsidRPr="009777D4" w:rsidRDefault="00584809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проживания 5</w:t>
            </w:r>
            <w:bookmarkStart w:id="0" w:name="_GoBack"/>
            <w:bookmarkEnd w:id="0"/>
            <w:r w:rsidR="00ED5E9F" w:rsidRPr="009777D4">
              <w:rPr>
                <w:rFonts w:ascii="Calibri" w:hAnsi="Calibri" w:cs="Calibri"/>
                <w:sz w:val="23"/>
                <w:szCs w:val="23"/>
              </w:rPr>
              <w:t xml:space="preserve"> ночи на базе завтрака;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ED5E9F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0B1E58" w:rsidRPr="000B1E58" w:rsidRDefault="000B1E58" w:rsidP="00ED5E9F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ED5E9F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ED5E9F" w:rsidRPr="009777D4" w:rsidRDefault="00ED5E9F" w:rsidP="00ED5E9F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ED5E9F" w:rsidRDefault="00ED5E9F" w:rsidP="009777D4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777D4" w:rsidRP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6668B6" w:rsidRPr="006668B6" w:rsidRDefault="009777D4" w:rsidP="006668B6">
      <w:pPr>
        <w:pStyle w:val="aa"/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6668B6" w:rsidRPr="006668B6" w:rsidRDefault="006668B6" w:rsidP="006668B6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6668B6" w:rsidRPr="006668B6" w:rsidRDefault="006668B6" w:rsidP="006668B6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120707" w:rsidRPr="009777D4" w:rsidRDefault="00120707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126505" w:rsidRDefault="00126505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EE4ADC" w:rsidRPr="00EE4ADC" w:rsidRDefault="00EE4ADC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sectPr w:rsidR="00EE4ADC" w:rsidRPr="00EE4ADC" w:rsidSect="0085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95" w:rsidRDefault="00935495" w:rsidP="0027168A">
      <w:pPr>
        <w:spacing w:after="0" w:line="240" w:lineRule="auto"/>
      </w:pPr>
      <w:r>
        <w:separator/>
      </w:r>
    </w:p>
  </w:endnote>
  <w:endnote w:type="continuationSeparator" w:id="0">
    <w:p w:rsidR="00935495" w:rsidRDefault="00935495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95" w:rsidRDefault="00935495" w:rsidP="0027168A">
      <w:pPr>
        <w:spacing w:after="0" w:line="240" w:lineRule="auto"/>
      </w:pPr>
      <w:r>
        <w:separator/>
      </w:r>
    </w:p>
  </w:footnote>
  <w:footnote w:type="continuationSeparator" w:id="0">
    <w:p w:rsidR="00935495" w:rsidRDefault="00935495" w:rsidP="0027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9AF"/>
    <w:multiLevelType w:val="multilevel"/>
    <w:tmpl w:val="50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ACC"/>
    <w:multiLevelType w:val="hybridMultilevel"/>
    <w:tmpl w:val="2B98ED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B04"/>
    <w:multiLevelType w:val="hybridMultilevel"/>
    <w:tmpl w:val="A3D6D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F29"/>
    <w:multiLevelType w:val="hybridMultilevel"/>
    <w:tmpl w:val="2CAA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57C0"/>
    <w:multiLevelType w:val="multilevel"/>
    <w:tmpl w:val="5B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00E"/>
    <w:multiLevelType w:val="multilevel"/>
    <w:tmpl w:val="517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3B3"/>
    <w:multiLevelType w:val="multilevel"/>
    <w:tmpl w:val="50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4A7A"/>
    <w:multiLevelType w:val="hybridMultilevel"/>
    <w:tmpl w:val="B8ECE2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5988"/>
    <w:multiLevelType w:val="hybridMultilevel"/>
    <w:tmpl w:val="97AE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0220A5"/>
    <w:rsid w:val="000B1E58"/>
    <w:rsid w:val="00120707"/>
    <w:rsid w:val="00126505"/>
    <w:rsid w:val="00202396"/>
    <w:rsid w:val="00206140"/>
    <w:rsid w:val="0021226F"/>
    <w:rsid w:val="002222B4"/>
    <w:rsid w:val="0027168A"/>
    <w:rsid w:val="002929F6"/>
    <w:rsid w:val="002C02B3"/>
    <w:rsid w:val="002C06D3"/>
    <w:rsid w:val="00316A49"/>
    <w:rsid w:val="003467BD"/>
    <w:rsid w:val="003E4E95"/>
    <w:rsid w:val="003F6B06"/>
    <w:rsid w:val="004028D1"/>
    <w:rsid w:val="00430317"/>
    <w:rsid w:val="004513F8"/>
    <w:rsid w:val="004E2CC2"/>
    <w:rsid w:val="00512C7A"/>
    <w:rsid w:val="00542400"/>
    <w:rsid w:val="00584809"/>
    <w:rsid w:val="005F4CFD"/>
    <w:rsid w:val="005F70B0"/>
    <w:rsid w:val="00607669"/>
    <w:rsid w:val="006239BB"/>
    <w:rsid w:val="0064046D"/>
    <w:rsid w:val="006560F6"/>
    <w:rsid w:val="006668B6"/>
    <w:rsid w:val="007246B4"/>
    <w:rsid w:val="00743177"/>
    <w:rsid w:val="007664E2"/>
    <w:rsid w:val="00786E52"/>
    <w:rsid w:val="007A7B40"/>
    <w:rsid w:val="00850A75"/>
    <w:rsid w:val="0085350F"/>
    <w:rsid w:val="00904AE1"/>
    <w:rsid w:val="00935495"/>
    <w:rsid w:val="00936064"/>
    <w:rsid w:val="009777D4"/>
    <w:rsid w:val="009C75AC"/>
    <w:rsid w:val="009F6CF7"/>
    <w:rsid w:val="00A00E8C"/>
    <w:rsid w:val="00A55A07"/>
    <w:rsid w:val="00A7021D"/>
    <w:rsid w:val="00AE6377"/>
    <w:rsid w:val="00B3184B"/>
    <w:rsid w:val="00B74EDF"/>
    <w:rsid w:val="00B86731"/>
    <w:rsid w:val="00BC5819"/>
    <w:rsid w:val="00BE27EA"/>
    <w:rsid w:val="00C95484"/>
    <w:rsid w:val="00CC606E"/>
    <w:rsid w:val="00CD6431"/>
    <w:rsid w:val="00D22B96"/>
    <w:rsid w:val="00D7538E"/>
    <w:rsid w:val="00DB1F05"/>
    <w:rsid w:val="00DD163F"/>
    <w:rsid w:val="00DD514E"/>
    <w:rsid w:val="00DE4DA6"/>
    <w:rsid w:val="00E320E7"/>
    <w:rsid w:val="00E86E09"/>
    <w:rsid w:val="00EB6AC4"/>
    <w:rsid w:val="00ED3DFA"/>
    <w:rsid w:val="00ED5E9F"/>
    <w:rsid w:val="00EE4ADC"/>
    <w:rsid w:val="00F01052"/>
    <w:rsid w:val="00FD020A"/>
    <w:rsid w:val="00FD58DE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0F"/>
  </w:style>
  <w:style w:type="paragraph" w:styleId="3">
    <w:name w:val="heading 3"/>
    <w:basedOn w:val="a"/>
    <w:link w:val="30"/>
    <w:uiPriority w:val="9"/>
    <w:qFormat/>
    <w:rsid w:val="0062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8C"/>
    <w:rPr>
      <w:b/>
      <w:bCs/>
    </w:rPr>
  </w:style>
  <w:style w:type="character" w:customStyle="1" w:styleId="apple-converted-space">
    <w:name w:val="apple-converted-space"/>
    <w:basedOn w:val="a0"/>
    <w:rsid w:val="00A00E8C"/>
  </w:style>
  <w:style w:type="character" w:customStyle="1" w:styleId="30">
    <w:name w:val="Заголовок 3 Знак"/>
    <w:basedOn w:val="a0"/>
    <w:link w:val="3"/>
    <w:uiPriority w:val="9"/>
    <w:rsid w:val="006239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4">
    <w:name w:val="Hyperlink"/>
    <w:basedOn w:val="a0"/>
    <w:uiPriority w:val="99"/>
    <w:semiHidden/>
    <w:unhideWhenUsed/>
    <w:rsid w:val="00623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header"/>
    <w:basedOn w:val="a"/>
    <w:link w:val="a7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68A"/>
  </w:style>
  <w:style w:type="paragraph" w:styleId="a8">
    <w:name w:val="footer"/>
    <w:basedOn w:val="a"/>
    <w:link w:val="a9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68A"/>
  </w:style>
  <w:style w:type="paragraph" w:styleId="aa">
    <w:name w:val="List Paragraph"/>
    <w:basedOn w:val="a"/>
    <w:uiPriority w:val="34"/>
    <w:qFormat/>
    <w:rsid w:val="002716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8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D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8945-398B-4ECE-90DE-82C8C3E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Lidiya</cp:lastModifiedBy>
  <cp:revision>27</cp:revision>
  <cp:lastPrinted>2018-01-15T16:02:00Z</cp:lastPrinted>
  <dcterms:created xsi:type="dcterms:W3CDTF">2018-01-16T16:27:00Z</dcterms:created>
  <dcterms:modified xsi:type="dcterms:W3CDTF">2018-01-25T09:58:00Z</dcterms:modified>
</cp:coreProperties>
</file>